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11.png" ContentType="image/png"/>
  <Override PartName="/word/media/image1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xmlns:a14="http://schemas.microsoft.com/office/drawing/2010/main" mc:Ignorable="w14 wp14 w15">
  <w:body>
    <w:p xmlns:wp14="http://schemas.microsoft.com/office/word/2010/wordml" w14:paraId="2C31D607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xmlns:wp14="http://schemas.microsoft.com/office/word/2010/wordml" w14:paraId="470FDC6D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xmlns:wp14="http://schemas.microsoft.com/office/word/2010/wordml" w14:paraId="2C461A86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xmlns:wp14="http://schemas.microsoft.com/office/word/2010/wordml" w14:paraId="485A6C22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xmlns:wp14="http://schemas.microsoft.com/office/word/2010/wordml" w14:paraId="459D639F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xmlns:wp14="http://schemas.microsoft.com/office/word/2010/wordml" w14:paraId="0BFD15B1" wp14:textId="77777777">
      <w:pPr>
        <w:pStyle w:val="Normal"/>
        <w:spacing w:line="360" w:lineRule="auto"/>
        <w:jc w:val="center"/>
        <w:rPr>
          <w:i/>
          <w:i/>
          <w:iCs/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xmlns:wp14="http://schemas.microsoft.com/office/word/2010/wordml" w14:paraId="5060180C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xmlns:wp14="http://schemas.microsoft.com/office/word/2010/wordml" w14:paraId="79697B49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 Саровские молодежные чтения</w:t>
      </w:r>
    </w:p>
    <w:p xmlns:wp14="http://schemas.microsoft.com/office/word/2010/wordml" w14:paraId="3499DC90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научно-практическая студенческая конференция</w:t>
      </w:r>
    </w:p>
    <w:p xmlns:wp14="http://schemas.microsoft.com/office/word/2010/wordml" w14:paraId="33CB292F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Сарова»</w:t>
      </w:r>
    </w:p>
    <w:p xmlns:wp14="http://schemas.microsoft.com/office/word/2010/wordml" w14:paraId="11A495B0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15, 16, 18, 19 апреля 2024 г.</w:t>
      </w:r>
    </w:p>
    <w:p xmlns:wp14="http://schemas.microsoft.com/office/word/2010/wordml" w14:paraId="1BB5A306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xmlns:wp14="http://schemas.microsoft.com/office/word/2010/wordml" w14:paraId="42B81E70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xmlns:wp14="http://schemas.microsoft.com/office/word/2010/wordml" w14:paraId="672A6659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0A37501D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0969B3FA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Семилетняя война (1756 – 1763 гг.)</w:t>
      </w:r>
    </w:p>
    <w:p xmlns:wp14="http://schemas.microsoft.com/office/word/2010/wordml" w14:paraId="0ECADBA0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xmlns:wp14="http://schemas.microsoft.com/office/word/2010/wordml" w14:paraId="68DC6001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ЦТ13, ТМ13</w:t>
      </w:r>
    </w:p>
    <w:p xmlns:wp14="http://schemas.microsoft.com/office/word/2010/wordml" w14:paraId="41D594A8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В. Данилкина (руководитель), А. Дашкина, Д. Пруса, Р. Балаева, А. Кулешова</w:t>
      </w:r>
    </w:p>
    <w:p xmlns:wp14="http://schemas.microsoft.com/office/word/2010/wordml" w14:paraId="2B73DBEC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xmlns:wp14="http://schemas.microsoft.com/office/word/2010/wordml" w14:paraId="1F23F278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xmlns:wp14="http://schemas.microsoft.com/office/word/2010/wordml" w14:paraId="23E37156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xmlns:wp14="http://schemas.microsoft.com/office/word/2010/wordml" w14:paraId="5DAB6C7B" wp14:textId="77777777">
      <w:pPr>
        <w:pStyle w:val="Normal"/>
        <w:jc w:val="center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</w:r>
    </w:p>
    <w:p xmlns:wp14="http://schemas.microsoft.com/office/word/2010/wordml" w14:paraId="02EB378F" wp14:textId="77777777">
      <w:pPr>
        <w:pStyle w:val="Normal"/>
        <w:jc w:val="center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</w:r>
    </w:p>
    <w:p xmlns:wp14="http://schemas.microsoft.com/office/word/2010/wordml" w14:paraId="6A05A809" wp14:textId="77777777">
      <w:pPr>
        <w:pStyle w:val="Normal"/>
        <w:jc w:val="center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</w:r>
    </w:p>
    <w:p xmlns:wp14="http://schemas.microsoft.com/office/word/2010/wordml" w14:paraId="5A39BBE3" wp14:textId="77777777">
      <w:pPr>
        <w:pStyle w:val="Normal"/>
        <w:jc w:val="center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</w:r>
    </w:p>
    <w:p xmlns:wp14="http://schemas.microsoft.com/office/word/2010/wordml" w14:paraId="41C8F396" wp14:textId="77777777">
      <w:pPr>
        <w:pStyle w:val="Normal"/>
        <w:jc w:val="center"/>
        <w:rPr>
          <w:sz w:val="28"/>
          <w:szCs w:val="28"/>
          <w:highlight w:val="red"/>
        </w:rPr>
      </w:pPr>
      <w:r>
        <w:rPr>
          <w:sz w:val="28"/>
          <w:szCs w:val="28"/>
          <w:highlight w:val="red"/>
        </w:rPr>
      </w:r>
    </w:p>
    <w:p xmlns:wp14="http://schemas.microsoft.com/office/word/2010/wordml" w14:paraId="72A3D3EC" wp14:textId="77777777">
      <w:pPr>
        <w:pStyle w:val="Normal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</w:r>
    </w:p>
    <w:p xmlns:wp14="http://schemas.microsoft.com/office/word/2010/wordml" w14:paraId="7C1BBF9F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xmlns:wp14="http://schemas.microsoft.com/office/word/2010/wordml" w14:paraId="0D0B940D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 xmlns:wp14="http://schemas.microsoft.com/office/word/2010/wordml" w14:paraId="12479D3E" wp14:textId="77777777"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Аннотация</w:t>
      </w:r>
    </w:p>
    <w:p xmlns:wp14="http://schemas.microsoft.com/office/word/2010/wordml" w14:paraId="25A00AD1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нашем докладе мы рассмотрели основные события, произошедшие в ходе Семилетней войны.</w:t>
      </w:r>
    </w:p>
    <w:p xmlns:wp14="http://schemas.microsoft.com/office/word/2010/wordml" w:rsidP="5D34F9DA" w14:paraId="19F4EB9B" wp14:textId="52C86327">
      <w:pPr>
        <w:pStyle w:val="Normal"/>
        <w:bidi w:val="0"/>
        <w:spacing w:line="360" w:lineRule="auto"/>
        <w:ind w:right="0" w:firstLine="708"/>
        <w:jc w:val="both"/>
        <w:rPr>
          <w:sz w:val="28"/>
          <w:szCs w:val="28"/>
        </w:rPr>
      </w:pPr>
      <w:r w:rsidRPr="0D71C6C8" w:rsidR="662366DE">
        <w:rPr>
          <w:sz w:val="28"/>
          <w:szCs w:val="28"/>
        </w:rPr>
        <w:t>В процессе работы над докладом мы обратились к научным</w:t>
      </w:r>
      <w:r w:rsidRPr="0D71C6C8" w:rsidR="1FC511F4">
        <w:rPr>
          <w:noProof/>
          <w:sz w:val="28"/>
          <w:szCs w:val="28"/>
          <w:lang w:val="ru-RU"/>
        </w:rPr>
        <w:t xml:space="preserve"> </w:t>
      </w:r>
      <w:r w:rsidRPr="0D71C6C8" w:rsidR="2C408EF5">
        <w:rPr>
          <w:rFonts w:eastAsia="Times New Roman" w:cs="Times New Roman"/>
          <w:b w:val="0"/>
          <w:bCs w:val="0"/>
          <w:sz w:val="28"/>
          <w:szCs w:val="28"/>
          <w:lang w:val="ru-RU"/>
        </w:rPr>
        <w:t>к</w:t>
      </w:r>
      <w:r w:rsidRPr="0D71C6C8" w:rsidR="662366DE">
        <w:rPr>
          <w:noProof/>
          <w:sz w:val="28"/>
          <w:szCs w:val="28"/>
          <w:lang w:val="ru-RU"/>
        </w:rPr>
        <w:t>нигам:</w:t>
      </w:r>
      <w:r w:rsidRPr="0D71C6C8" w:rsidR="662366DE">
        <w:rPr>
          <w:noProof/>
          <w:sz w:val="28"/>
          <w:szCs w:val="28"/>
          <w:lang w:val="ru-RU"/>
        </w:rPr>
        <w:t>  </w:t>
      </w:r>
      <w:r w:rsidRPr="0D71C6C8" w:rsidR="662366DE">
        <w:rPr>
          <w:noProof/>
          <w:sz w:val="28"/>
          <w:szCs w:val="28"/>
          <w:lang w:val="ru-RU"/>
        </w:rPr>
        <w:t> </w:t>
      </w:r>
      <w:r w:rsidRPr="0D71C6C8" w:rsidR="34872F13">
        <w:rPr>
          <w:rFonts w:eastAsia="Times New Roman" w:cs="Times New Roman"/>
          <w:b w:val="0"/>
          <w:bCs w:val="0"/>
          <w:sz w:val="28"/>
          <w:szCs w:val="28"/>
          <w:lang w:val="ru-RU"/>
        </w:rPr>
        <w:t> </w:t>
      </w:r>
      <w:r w:rsidRPr="0D71C6C8" w:rsidR="662366DE">
        <w:rPr>
          <w:noProof/>
          <w:sz w:val="28"/>
          <w:szCs w:val="28"/>
          <w:lang w:val="ru-RU"/>
        </w:rPr>
        <w:t>Н</w:t>
      </w:r>
      <w:r w:rsidRPr="0D71C6C8" w:rsidR="662366DE">
        <w:rPr>
          <w:noProof/>
          <w:sz w:val="28"/>
          <w:szCs w:val="28"/>
          <w:lang w:val="ru-RU"/>
        </w:rPr>
        <w:t>.М.</w:t>
      </w:r>
      <w:r w:rsidRPr="0D71C6C8" w:rsidR="662366DE">
        <w:rPr>
          <w:noProof/>
          <w:sz w:val="28"/>
          <w:szCs w:val="28"/>
          <w:lang w:val="ru-RU"/>
        </w:rPr>
        <w:t xml:space="preserve"> Коробкова,</w:t>
      </w:r>
      <w:r w:rsidRPr="0D71C6C8" w:rsidR="662366DE">
        <w:rPr>
          <w:sz w:val="28"/>
          <w:szCs w:val="28"/>
        </w:rPr>
        <w:t xml:space="preserve"> военного историка и профессора Московского института, к книге И.М. Купермана, который был также военным историком, а также еще к нескольким книгам других историков.</w:t>
      </w:r>
    </w:p>
    <w:p xmlns:wp14="http://schemas.microsoft.com/office/word/2010/wordml" w14:paraId="33B3A532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нами были рассмотрены в докладе предпосылки войны и начало военных действий. Затем был описан ход войны и участие России в ней. В конце мы рассмотрели итоги войны и привели мнения историков по этой войне.</w:t>
      </w:r>
    </w:p>
    <w:p xmlns:wp14="http://schemas.microsoft.com/office/word/2010/wordml" w14:paraId="0E27B00A" wp14:textId="77777777"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 xmlns:wp14="http://schemas.microsoft.com/office/word/2010/wordml" w14:paraId="5780D017" wp14:textId="77777777">
      <w:pPr>
        <w:pStyle w:val="Normal"/>
        <w:spacing w:line="360" w:lineRule="auto"/>
        <w:ind w:firstLine="709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7" behindDoc="0" locked="0" layoutInCell="0" allowOverlap="1" wp14:anchorId="1AF261E5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</w:t>
      </w:r>
    </w:p>
    <w:p xmlns:wp14="http://schemas.microsoft.com/office/word/2010/wordml" w14:paraId="75088C2F" wp14:textId="77777777">
      <w:pPr>
        <w:pStyle w:val="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xmlns:wp14="http://schemas.microsoft.com/office/word/2010/wordml" w14:paraId="32AB19AE" wp14:textId="77777777">
      <w:pPr>
        <w:pStyle w:val="Normal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Мы представляем доклад о Семилетней войне – крупном военном конфликте XVIII века.</w:t>
      </w:r>
    </w:p>
    <w:p xmlns:wp14="http://schemas.microsoft.com/office/word/2010/wordml" w14:paraId="73E3BDFB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6" behindDoc="0" locked="0" layoutInCell="0" allowOverlap="1" wp14:anchorId="74FAE162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2</w:t>
      </w:r>
    </w:p>
    <w:p xmlns:wp14="http://schemas.microsoft.com/office/word/2010/wordml" w14:paraId="52743918" wp14:textId="77777777">
      <w:pPr>
        <w:pStyle w:val="Normal"/>
        <w:spacing w:before="0" w:beforeAutospacing="0" w:after="0" w:afterAutospacing="0" w:line="360" w:lineRule="auto"/>
        <w:ind w:left="0" w:right="0" w:firstLine="72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ru-RU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>Семилетняя война, один из ключевых конфликтов XVIII века, который произошел в результате борьбы за господство в Европе и в колониальных империях. Участие в войне давало России возможность укрепить свои позиции и расширить свои территории.</w:t>
      </w:r>
    </w:p>
    <w:p xmlns:wp14="http://schemas.microsoft.com/office/word/2010/wordml" w14:paraId="44E7164B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5" behindDoc="0" locked="0" layoutInCell="0" allowOverlap="1" wp14:anchorId="15C5AAE0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3</w:t>
      </w:r>
    </w:p>
    <w:p xmlns:wp14="http://schemas.microsoft.com/office/word/2010/wordml" w14:paraId="0DBCC78F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 w:rsidRPr="15C33E10" w:rsidR="15C33E10">
        <w:rPr>
          <w:sz w:val="28"/>
          <w:szCs w:val="28"/>
        </w:rPr>
        <w:t>Цель - рассмотреть предпосылки, ход, и итоги Семилетней войны.</w:t>
      </w:r>
    </w:p>
    <w:p xmlns:wp14="http://schemas.microsoft.com/office/word/2010/wordml" w14:paraId="3B6E488C" wp14:textId="093F1EAA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 w:rsidR="03C465E1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0248776" wp14:anchorId="2D2003B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15050" cy="4581524"/>
            <wp:effectExtent l="0" t="0" r="0" b="0"/>
            <wp:wrapSquare wrapText="bothSides"/>
            <wp:docPr id="20403219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f9ab4204a440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3C465E1">
        <w:rPr>
          <w:sz w:val="28"/>
          <w:szCs w:val="28"/>
        </w:rPr>
        <w:t>Слайд 4</w:t>
      </w:r>
    </w:p>
    <w:p xmlns:wp14="http://schemas.microsoft.com/office/word/2010/wordml" w14:paraId="1CCAE2B4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XVI по XX века в мире существовали колониальные системы. В середине XVIII века Европа была разделена на два лагеря из-за соперничества за колониальные территории и влияние. Англо-французские столкновения в Северной Америке стали зачином для последующего широкомасштабного конфликта, когда Великобритания объявила войну Франции. Одновременно Мария Терезия начала формировать коалицию против Пруссии для восстановления Силезии, утраченной в результате войны за Австрийское наследство, которая была в 1740 годах. Елизавета Петровна решила поддержать союзную Австрию. В связи с усилением Пруссии старые альянсы распадались и формировались новые.</w:t>
      </w:r>
    </w:p>
    <w:p xmlns:wp14="http://schemas.microsoft.com/office/word/2010/wordml" w14:paraId="62767E6D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3" behindDoc="0" locked="0" layoutInCell="0" allowOverlap="1" wp14:anchorId="69328974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5</w:t>
      </w:r>
    </w:p>
    <w:p xmlns:wp14="http://schemas.microsoft.com/office/word/2010/wordml" w14:paraId="43D7034B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Великобритания и Пруссия, заключив союз против Австрии, пытались балансировать геополитические амбиции и интересы других империй, включая Российскую Империю. В ответ на эти действия Австрия приблизилась к Франции, а затем и России, образуя союз, который был направлен против Пруссии.</w:t>
      </w:r>
    </w:p>
    <w:p xmlns:wp14="http://schemas.microsoft.com/office/word/2010/wordml" w14:paraId="1E7433DB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2" behindDoc="0" locked="0" layoutInCell="0" allowOverlap="1" wp14:anchorId="79C49CB0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6</w:t>
      </w:r>
    </w:p>
    <w:p xmlns:wp14="http://schemas.microsoft.com/office/word/2010/wordml" w14:paraId="0C816071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военных в 1756 году действий Фридрих II, вторгшись в Саксонию и Австрию, смог добиться значительных успехов. Результативный вывод саксонских и австрийских войск из строя после сражений при Лобозице и других побед Фридриха II привел к капитуляции Саксонии и блокаде австрийских войск в Праге. Однако Прусская армия потерпела поражение от австрийцев, после чего последние разбивали пруссийские войска и даже временно захватили Берлин. Но Фридрих II сумел переломить ход войны, нанеся австрийцам серьезное поражение под Лейтеном, что повернуло военное превосходство в пользу Пруссии и нивелировало предыдущие успехи австрийцев.</w:t>
      </w:r>
    </w:p>
    <w:p xmlns:wp14="http://schemas.microsoft.com/office/word/2010/wordml" w14:paraId="22FDAB2E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1" behindDoc="0" locked="0" layoutInCell="0" allowOverlap="1" wp14:anchorId="4EF81011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7</w:t>
      </w:r>
    </w:p>
    <w:p xmlns:wp14="http://schemas.microsoft.com/office/word/2010/wordml" w14:paraId="1CF28171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Россия вступила в Семилетнюю войну в 1757 году, исполняя свои союзнические обязательства перед Австрией. Под командованием генерала Виллима Виллимовича Фермора российская армия взяла Мемель. Далее фельдмаршалу </w:t>
      </w:r>
      <w:r>
        <w:rPr>
          <w:rFonts w:eastAsia="Times New Roman" w:cs="Times New Roman"/>
          <w:b w:val="false"/>
          <w:bCs w:val="false"/>
          <w:sz w:val="28"/>
          <w:szCs w:val="28"/>
          <w:lang w:val="ru-RU"/>
        </w:rPr>
        <w:t xml:space="preserve">Степану Фёдоровичу </w:t>
      </w:r>
      <w:r>
        <w:rPr>
          <w:sz w:val="28"/>
          <w:szCs w:val="28"/>
        </w:rPr>
        <w:t>Апраксину, удалось разбить прусскую армию у Гросс-Егерсдорфа. После этого Апраксиным, было принято неожиданное решение отвести войска обратно, историки высказывают предположение о том, что оно было связано с тем, что Елизавета Петровна была серьезно больна и фельдмаршал, зная взгляды наследника, Петра Федоровича, опасался действовать «грубо» в отношении Фридриха II. Однако императрица поправилась и действия командующего были восприняты как предательство.</w:t>
      </w:r>
    </w:p>
    <w:p xmlns:wp14="http://schemas.microsoft.com/office/word/2010/wordml" w14:paraId="10FF42EE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10" behindDoc="0" locked="0" layoutInCell="0" allowOverlap="1" wp14:anchorId="14D41D4E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5525" cy="4572000"/>
            <wp:effectExtent l="0" t="0" r="0" b="0"/>
            <wp:wrapSquare wrapText="bothSides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8</w:t>
      </w:r>
    </w:p>
    <w:p xmlns:wp14="http://schemas.microsoft.com/office/word/2010/wordml" w14:paraId="2DEFE239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отставки Апраксина новым командующим стал Фермор. Ему удалось занять всю Восточную Пруссию и Кёнигсберг, осадить Кюстрин и выйти на линию Бранденбург-Берлин.</w:t>
      </w:r>
    </w:p>
    <w:p xmlns:wp14="http://schemas.microsoft.com/office/word/2010/wordml" w14:paraId="173105CD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русские войска создали реальную угрозу Берлину, Фридрих II решился на сражение. Оно произошло у Цорндорфа. Это крупнейшее сражение считают самой страшной битвой времен Семилетней войны. Обе стороны понесли огромные потери. Победителем из него не вышел никто.</w:t>
      </w:r>
    </w:p>
    <w:p xmlns:wp14="http://schemas.microsoft.com/office/word/2010/wordml" w14:paraId="0D5B8CA9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9" behindDoc="0" locked="0" layoutInCell="0" allowOverlap="1" wp14:anchorId="0B2BD360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9</w:t>
      </w:r>
    </w:p>
    <w:p xmlns:wp14="http://schemas.microsoft.com/office/word/2010/wordml" w14:paraId="396BF7B4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Цорндрофа на пост главнокомандующего в 1759 году был назначен Петр Семенович Салтыков. Новый главнокомандующий начал боевые действия вполне удачно одержав победу в сражении при Пальциге.</w:t>
      </w:r>
    </w:p>
    <w:p xmlns:wp14="http://schemas.microsoft.com/office/word/2010/wordml" w14:paraId="796ACCEB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Далее произошло важнейшее сражение времен Семилетней войны. сражение при Кунерсдорфе, в результате которого Фридрих II был разбит и потерял практически всю свою армию. Пруссия была на пороге падения, и Фридрих II готовился к захвату Берлина (столица Пруссии). Однако, неожиданно для всех, противники ретировали свои войска, и столица Пруссии осталась не взята.</w:t>
      </w:r>
    </w:p>
    <w:p xmlns:wp14="http://schemas.microsoft.com/office/word/2010/wordml" w14:paraId="0832B2B3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xmlns:wp14="http://schemas.microsoft.com/office/word/2010/wordprocessingDrawing" distT="0" distB="0" distL="0" distR="114300" simplePos="0" relativeHeight="8" behindDoc="0" locked="0" layoutInCell="0" allowOverlap="1" wp14:anchorId="661FC056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10</w:t>
      </w:r>
    </w:p>
    <w:p xmlns:wp14="http://schemas.microsoft.com/office/word/2010/wordml" w14:paraId="7B3EF408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1760 году русская армия, вместе с австрийскими союзниками, активно готовилась к наступлению на Берлин. Город был взят 9 октября русской армией под командованием </w:t>
      </w:r>
      <w:r>
        <w:rPr>
          <w:rFonts w:eastAsia="Times New Roman" w:cs="Times New Roman"/>
          <w:sz w:val="28"/>
          <w:szCs w:val="28"/>
          <w:lang w:val="ru-RU"/>
        </w:rPr>
        <w:t xml:space="preserve">Готтлоба Курта Генриха </w:t>
      </w:r>
      <w:r>
        <w:rPr>
          <w:sz w:val="28"/>
          <w:szCs w:val="28"/>
        </w:rPr>
        <w:t>Тотлебена. Фридрих выступил по направлению к Берлину. Маневр прусского короля заставил русских и австрийских генералов оставить Берлин. В результате чего его бросок привел к освобождению русско-австрийскими войсками Саксонии.</w:t>
      </w:r>
    </w:p>
    <w:p xmlns:wp14="http://schemas.microsoft.com/office/word/2010/wordml" w14:paraId="31A28EA2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7" behindDoc="0" locked="0" layoutInCell="0" allowOverlap="1" wp14:anchorId="2619351E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5525" cy="4591050"/>
            <wp:effectExtent l="0" t="0" r="0" b="0"/>
            <wp:wrapSquare wrapText="bothSides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11</w:t>
      </w:r>
    </w:p>
    <w:p xmlns:wp14="http://schemas.microsoft.com/office/word/2010/wordml" w14:paraId="27BDCA25" wp14:textId="77777777">
      <w:pPr>
        <w:pStyle w:val="Normal"/>
        <w:spacing w:line="360" w:lineRule="auto"/>
        <w:ind w:firstLine="708"/>
        <w:jc w:val="both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В 1761 году Пётру Александровичу Румянцеву удалось осадить крепость Кольберг.</w:t>
      </w:r>
    </w:p>
    <w:p xmlns:wp14="http://schemas.microsoft.com/office/word/2010/wordml" w14:paraId="3A30361A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этом же году Фридрих II искал возможность не для воссоздания армии, а для переговоров. В конечном итоге произошло то, что сам король назвал “вторым чудом Бранденбургского Дома”: умирает Елизавета Петровна и на российский престол вступил Петр III, поспешивший заключить сепаратный мирный договор с Пруссией.</w:t>
      </w:r>
    </w:p>
    <w:p xmlns:wp14="http://schemas.microsoft.com/office/word/2010/wordml" w14:paraId="34319118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то, что буквально через несколько месяцев Петр III был свергнут с престола своей супругой Екатериной Алексеевной и русские войска отказались выполнять союзнические обязательства перед Пруссией, Фридрих II сумел воспользоваться паузой для перегруппировки своих сил, одержав целый ряд побед и над австрийцами, и над французами.</w:t>
      </w:r>
    </w:p>
    <w:p xmlns:wp14="http://schemas.microsoft.com/office/word/2010/wordml" w14:paraId="0421453E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6" behindDoc="0" locked="0" layoutInCell="0" allowOverlap="1" wp14:anchorId="5680B7B2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12</w:t>
      </w:r>
    </w:p>
    <w:p xmlns:wp14="http://schemas.microsoft.com/office/word/2010/wordml" w14:paraId="2DB5EE26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Произошедшие неудачи на колониальных фронтах вынудили Францию искать новых союзников. В 1761 году ей удалось заключить договор с Испанией, которая была обеспокоена действиями Великобритании в своих колониях на Филиппинах и на Карибских островах.</w:t>
      </w:r>
    </w:p>
    <w:p xmlns:wp14="http://schemas.microsoft.com/office/word/2010/wordml" w14:paraId="6AB4FB15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Испания вступила в Семилетнюю войну, напав на Португалию. Фактически это был последний этап затяжного общемирового конфликта.</w:t>
      </w:r>
    </w:p>
    <w:p xmlns:wp14="http://schemas.microsoft.com/office/word/2010/wordml" w14:paraId="6827F17A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5" behindDoc="0" locked="0" layoutInCell="0" allowOverlap="1" wp14:anchorId="7D05DC4B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13</w:t>
      </w:r>
    </w:p>
    <w:p xmlns:wp14="http://schemas.microsoft.com/office/word/2010/wordml" w14:paraId="45E56036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Итогом войны стало то, что в 1763 году были подписаны мирные договоры, Парижский и Губертусбургский, по которым Франция лишилась большей части своих колониальных владений, Испания уступала Великобритании Флориду, Пруссия закрепила за собой Силезию.</w:t>
      </w:r>
    </w:p>
    <w:p xmlns:wp14="http://schemas.microsoft.com/office/word/2010/wordml" w14:paraId="68F02901" wp14:textId="35595BDA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 w:rsidRPr="5D34F9DA" w:rsidR="5D34F9DA">
        <w:rPr>
          <w:sz w:val="28"/>
          <w:szCs w:val="28"/>
        </w:rPr>
        <w:t>Война закончилась полной победой англо-прусской коалиции и разгромом Франции. Пруссия становится государством-лидером Европы, и это событие стало основой для будущего объединения немецких земель в единое государство</w:t>
      </w:r>
      <w:r w:rsidRPr="5D34F9DA" w:rsidR="5B3CF6A5">
        <w:rPr>
          <w:sz w:val="28"/>
          <w:szCs w:val="28"/>
        </w:rPr>
        <w:t xml:space="preserve"> в 1871 году</w:t>
      </w:r>
      <w:r w:rsidRPr="5D34F9DA" w:rsidR="5D34F9DA">
        <w:rPr>
          <w:sz w:val="28"/>
          <w:szCs w:val="28"/>
        </w:rPr>
        <w:t>.</w:t>
      </w:r>
    </w:p>
    <w:p xmlns:wp14="http://schemas.microsoft.com/office/word/2010/wordml" w14:paraId="734E3DB4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Россия не понесла территориальных изменений за всю Семилетнюю войну. Плюсом для России лишь стал военный опыт и то, что она укрепила свою влияние в Европе.</w:t>
      </w:r>
    </w:p>
    <w:p xmlns:wp14="http://schemas.microsoft.com/office/word/2010/wordml" w14:paraId="60061E4C" wp14:textId="77777777">
      <w:pPr>
        <w:pStyle w:val="Normal"/>
        <w:rPr/>
      </w:pPr>
      <w:r>
        <w:rPr/>
      </w:r>
      <w:r>
        <w:br w:type="page"/>
      </w:r>
    </w:p>
    <w:p xmlns:wp14="http://schemas.microsoft.com/office/word/2010/wordml" w14:paraId="74C3F6BA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4" behindDoc="0" locked="0" layoutInCell="0" allowOverlap="1" wp14:anchorId="2D18DA59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14</w:t>
      </w:r>
    </w:p>
    <w:p xmlns:wp14="http://schemas.microsoft.com/office/word/2010/wordml" w14:paraId="33374534" wp14:textId="77777777">
      <w:pPr>
        <w:pStyle w:val="Normal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Историки подчеркивают обеспокоенности России, в результате растущей агрессией и влияние Пруссии, что послужило важным мотивом для вступления в войну. В целом, обе точки зрения подчеркивают важность и сложность решения Россией принять участие в конфликте, учитывая различные аспекты политической ситуации того времени.</w:t>
      </w:r>
    </w:p>
    <w:p xmlns:wp14="http://schemas.microsoft.com/office/word/2010/wordml" w14:paraId="4110E36C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3" behindDoc="0" locked="0" layoutInCell="0" allowOverlap="1" wp14:anchorId="06D90CD2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0F3927B">
        <w:rPr>
          <w:sz w:val="28"/>
          <w:szCs w:val="28"/>
        </w:rPr>
        <w:t>Слайд 15</w:t>
      </w:r>
    </w:p>
    <w:p w:rsidR="168E5B9F" w:rsidP="10F3927B" w:rsidRDefault="168E5B9F" w14:paraId="6BEAE92C" w14:textId="4C4A6CC8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 w:rsidRPr="10F3927B" w:rsidR="168E5B9F">
        <w:rPr>
          <w:sz w:val="28"/>
          <w:szCs w:val="28"/>
        </w:rPr>
        <w:t>Наш доклад основывается на данных источниках и литературе:</w:t>
      </w:r>
    </w:p>
    <w:p xmlns:wp14="http://schemas.microsoft.com/office/word/2010/wordml" w14:paraId="68FDDA9D" wp14:textId="7777777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sz w:val="28"/>
          <w:szCs w:val="28"/>
          <w:lang w:val="en-US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 xml:space="preserve">Архенгольц И.В. История семилетней войны. М., 2001 // </w:t>
      </w:r>
      <w:hyperlink r:id="rId17">
        <w:r>
          <w:rPr>
            <w:b w:val="false"/>
            <w:bCs w:val="false"/>
            <w:i w:val="false"/>
            <w:iCs w:val="false"/>
            <w:strike w:val="false"/>
            <w:dstrike w:val="false"/>
            <w:color w:val="009999"/>
            <w:sz w:val="28"/>
            <w:szCs w:val="28"/>
            <w:u w:val="single"/>
            <w:lang w:val="ru-RU"/>
          </w:rPr>
          <w:t>http://militera.lib.ru/h/archenholz/index.html</w:t>
        </w:r>
      </w:hyperlink>
    </w:p>
    <w:p xmlns:wp14="http://schemas.microsoft.com/office/word/2010/wordml" w14:paraId="451B519C" wp14:textId="7777777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 xml:space="preserve">Болотов А.Т., Гордт Л.И., Замостьянов А.А. Семилетняя война. Как Россия решала судьбы Европы. М., 2022 // </w:t>
      </w:r>
      <w:hyperlink r:id="rId18">
        <w:r>
          <w:rPr>
            <w:b w:val="false"/>
            <w:bCs w:val="false"/>
            <w:i w:val="false"/>
            <w:iCs w:val="false"/>
            <w:strike w:val="false"/>
            <w:dstrike w:val="false"/>
            <w:color w:val="009999"/>
            <w:sz w:val="28"/>
            <w:szCs w:val="28"/>
            <w:u w:val="single"/>
            <w:lang w:val="ru-RU"/>
          </w:rPr>
          <w:t>https://clck.ru/38nhVy</w:t>
        </w:r>
      </w:hyperlink>
    </w:p>
    <w:p xmlns:wp14="http://schemas.microsoft.com/office/word/2010/wordml" w14:paraId="3F4C3CB1" wp14:textId="7777777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 xml:space="preserve">Коробков Н.М. Семилетняя война. Материалы о действиях русской армии и флота в 1756 - 1762 гг. М., 1948 // </w:t>
      </w:r>
      <w:hyperlink r:id="rId19">
        <w:r>
          <w:rPr>
            <w:b w:val="false"/>
            <w:bCs w:val="false"/>
            <w:i w:val="false"/>
            <w:iCs w:val="false"/>
            <w:strike w:val="false"/>
            <w:dstrike w:val="false"/>
            <w:color w:val="009999"/>
            <w:sz w:val="28"/>
            <w:szCs w:val="28"/>
            <w:u w:val="single"/>
            <w:lang w:val="ru-RU"/>
          </w:rPr>
          <w:t>https://clck.ru/38ngsp</w:t>
        </w:r>
      </w:hyperlink>
    </w:p>
    <w:p xmlns:wp14="http://schemas.microsoft.com/office/word/2010/wordml" w14:paraId="363639CA" wp14:textId="7777777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 xml:space="preserve">Куперман И.М., Лубченков Ю.Н. Семилетняя война. М., 1999 // </w:t>
      </w:r>
      <w:hyperlink r:id="rId20">
        <w:r>
          <w:rPr>
            <w:b w:val="false"/>
            <w:bCs w:val="false"/>
            <w:i w:val="false"/>
            <w:iCs w:val="false"/>
            <w:strike w:val="false"/>
            <w:dstrike w:val="false"/>
            <w:color w:val="009999"/>
            <w:sz w:val="28"/>
            <w:szCs w:val="28"/>
            <w:u w:val="single"/>
            <w:lang w:val="ru-RU"/>
          </w:rPr>
          <w:t>https://royallib.com/book/osipov_konstantin/semiletnyaya_voyna.html</w:t>
        </w:r>
      </w:hyperlink>
    </w:p>
    <w:p xmlns:wp14="http://schemas.microsoft.com/office/word/2010/wordml" w14:paraId="0996F318" wp14:textId="77777777">
      <w:pPr>
        <w:pStyle w:val="ListParagraph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</w:pPr>
      <w:r>
        <w:rPr>
          <w:rFonts w:eastAsia="Times New Roman" w:cs="Times New Roman"/>
          <w:b w:val="false"/>
          <w:bCs w:val="false"/>
          <w:i w:val="false"/>
          <w:iCs w:val="false"/>
          <w:strike w:val="false"/>
          <w:dstrike w:val="false"/>
          <w:color w:val="000000" w:themeColor="text1" w:themeTint="ff" w:themeShade="ff"/>
          <w:sz w:val="28"/>
          <w:szCs w:val="28"/>
          <w:u w:val="none"/>
          <w:lang w:val="ru-RU"/>
        </w:rPr>
        <w:t xml:space="preserve">Сдвижков А.Д., Анисимов Ю.М. Россия в глобальном конфликте XVIII века. Семилетняя война (1756 − 1763) и российское общество. М., 2023 // </w:t>
      </w:r>
      <w:hyperlink r:id="rId21">
        <w:r>
          <w:rPr>
            <w:b w:val="false"/>
            <w:bCs w:val="false"/>
            <w:i w:val="false"/>
            <w:iCs w:val="false"/>
            <w:strike w:val="false"/>
            <w:dstrike w:val="false"/>
            <w:color w:val="009999"/>
            <w:sz w:val="28"/>
            <w:szCs w:val="28"/>
            <w:u w:val="single"/>
            <w:lang w:val="ru-RU"/>
          </w:rPr>
          <w:t>https://clck.ru/38nhfT</w:t>
        </w:r>
      </w:hyperlink>
    </w:p>
    <w:p xmlns:wp14="http://schemas.microsoft.com/office/word/2010/wordml" w14:paraId="14825C50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drawing>
          <wp:anchor xmlns:wp14="http://schemas.microsoft.com/office/word/2010/wordprocessingDrawing" distT="0" distB="0" distL="0" distR="114300" simplePos="0" relativeHeight="2" behindDoc="0" locked="0" layoutInCell="0" allowOverlap="1" wp14:anchorId="5A908E01" wp14:editId="777777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15050" cy="4581525"/>
            <wp:effectExtent l="0" t="0" r="0" b="0"/>
            <wp:wrapSquare wrapText="bothSides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Слайд 16</w:t>
      </w:r>
    </w:p>
    <w:p xmlns:wp14="http://schemas.microsoft.com/office/word/2010/wordml" w14:paraId="3AC35A69" wp14:textId="77777777"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xmlns:wp14="http://schemas.microsoft.com/office/word/2010/wordml" w14:paraId="44EAFD9C" wp14:textId="77777777">
      <w:pPr>
        <w:pStyle w:val="Normal"/>
        <w:rPr/>
      </w:pPr>
      <w:r>
        <w:rPr/>
      </w:r>
      <w:r>
        <w:br w:type="page"/>
      </w:r>
    </w:p>
    <w:p xmlns:wp14="http://schemas.microsoft.com/office/word/2010/wordml" w14:paraId="508C1F72" wp14:textId="77777777">
      <w:pPr>
        <w:pStyle w:val="Normal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Резюме для СМИ</w:t>
      </w:r>
    </w:p>
    <w:p xmlns:wp14="http://schemas.microsoft.com/office/word/2010/wordml" w14:paraId="7A4CE1E8" wp14:textId="19974D87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 w:rsidRPr="5D34F9DA" w:rsidR="662366DE">
        <w:rPr>
          <w:rFonts w:eastAsia="Times New Roman" w:cs="Times New Roman"/>
          <w:b w:val="0"/>
          <w:bCs w:val="0"/>
          <w:sz w:val="28"/>
          <w:szCs w:val="28"/>
          <w:lang w:val="ru-RU"/>
        </w:rPr>
        <w:t>В Европе началось Новое время и стали формироваться колониальные системы, между которыми к середине XVIII веку пошли серьёзные противоречия, которые вылились, в частности, в Семилетнюю войну</w:t>
      </w:r>
      <w:r w:rsidRPr="5D34F9DA" w:rsidR="662366DE">
        <w:rPr>
          <w:rFonts w:eastAsia="Times New Roman" w:cs="Times New Roman"/>
          <w:sz w:val="28"/>
          <w:szCs w:val="28"/>
          <w:lang w:val="ru-RU"/>
        </w:rPr>
        <w:t xml:space="preserve"> - крупный военный конфликт XVIII века. Семилетняя война шла как в Европе, так и за океаном. Основное противостояние в Европе происходило между Австрией и Пруссией из-за Силезии, потерянной Австрией в предыдущих Силезских войнах. Основной причиной вступления в войну России были союзнические обязательства перед Австрией.</w:t>
      </w:r>
    </w:p>
    <w:sectPr>
      <w:type w:val="nextPage"/>
      <w:pgSz w:w="11906" w:h="16838" w:orient="portrait"/>
      <w:pgMar w:top="1134" w:right="851" w:bottom="1134" w:left="1418" w:header="0" w:footer="0" w:gutter="0"/>
      <w:pgNumType w:fmt="decimal"/>
      <w:formProt w:val="false"/>
      <w:textDirection w:val="lrTb"/>
      <w:docGrid w:type="default" w:linePitch="36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  <w:nsid w:val="1d9afffb"/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nsid w:val="7d84c4a1"/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85"/>
  <w:embedSystemFonts/>
  <w:trackRevisions w:val="false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18E76D9"/>
    <w:rsid w:val="018E76D9"/>
    <w:rsid w:val="03C465E1"/>
    <w:rsid w:val="0AE47F01"/>
    <w:rsid w:val="0D71C6C8"/>
    <w:rsid w:val="10F3927B"/>
    <w:rsid w:val="158E11DA"/>
    <w:rsid w:val="15C33E10"/>
    <w:rsid w:val="168E5B9F"/>
    <w:rsid w:val="16E45432"/>
    <w:rsid w:val="1DF178C8"/>
    <w:rsid w:val="1FC511F4"/>
    <w:rsid w:val="21060D8D"/>
    <w:rsid w:val="2652D8AA"/>
    <w:rsid w:val="274BF4C1"/>
    <w:rsid w:val="293A29F8"/>
    <w:rsid w:val="2C408EF5"/>
    <w:rsid w:val="30DE3B4A"/>
    <w:rsid w:val="317C04AE"/>
    <w:rsid w:val="34872F13"/>
    <w:rsid w:val="363BFBB7"/>
    <w:rsid w:val="4F45AAC4"/>
    <w:rsid w:val="58198D0B"/>
    <w:rsid w:val="5B3CF6A5"/>
    <w:rsid w:val="5D34F9DA"/>
    <w:rsid w:val="63D3E8D8"/>
    <w:rsid w:val="656A3489"/>
    <w:rsid w:val="662366DE"/>
    <w:rsid w:val="67A1E72B"/>
    <w:rsid w:val="70CA2E3F"/>
    <w:rsid w:val="70CA2E3F"/>
  </w:rsids>
  <w:themeFontLang w:val="ru-RU" w:eastAsia="ja-JP" w:bidi="ar-SA"/>
  <w14:docId w14:val="7AD75527"/>
  <w15:docId w15:val="{92B66153-AF33-4E47-BCA9-90CCED9B56F1}"/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lang w:val="ru-RU" w:eastAsia="ja-JP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rsid w:val="00815321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6">
    <w:name w:val="Body Text"/>
    <w:basedOn w:val="Normal"/>
    <w:pPr>
      <w:spacing w:before="0" w:after="140" w:line="276" w:lineRule="auto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styleId="a1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jpeg" Id="rId3" /><Relationship Type="http://schemas.openxmlformats.org/officeDocument/2006/relationships/image" Target="media/image3.jpeg" Id="rId4" /><Relationship Type="http://schemas.openxmlformats.org/officeDocument/2006/relationships/image" Target="media/image5.jpeg" Id="rId6" /><Relationship Type="http://schemas.openxmlformats.org/officeDocument/2006/relationships/image" Target="media/image6.jpeg" Id="rId7" /><Relationship Type="http://schemas.openxmlformats.org/officeDocument/2006/relationships/image" Target="media/image7.jpeg" Id="rId8" /><Relationship Type="http://schemas.openxmlformats.org/officeDocument/2006/relationships/image" Target="media/image8.jpeg" Id="rId9" /><Relationship Type="http://schemas.openxmlformats.org/officeDocument/2006/relationships/image" Target="media/image9.jpeg" Id="rId10" /><Relationship Type="http://schemas.openxmlformats.org/officeDocument/2006/relationships/image" Target="media/image10.jpeg" Id="rId11" /><Relationship Type="http://schemas.openxmlformats.org/officeDocument/2006/relationships/image" Target="media/image11.png" Id="rId12" /><Relationship Type="http://schemas.openxmlformats.org/officeDocument/2006/relationships/image" Target="media/image12.jpeg" Id="rId13" /><Relationship Type="http://schemas.openxmlformats.org/officeDocument/2006/relationships/image" Target="media/image13.jpeg" Id="rId14" /><Relationship Type="http://schemas.openxmlformats.org/officeDocument/2006/relationships/image" Target="media/image14.jpeg" Id="rId15" /><Relationship Type="http://schemas.openxmlformats.org/officeDocument/2006/relationships/image" Target="media/image15.jpeg" Id="rId16" /><Relationship Type="http://schemas.openxmlformats.org/officeDocument/2006/relationships/hyperlink" Target="http://militera.lib.ru/h/archenholz/index.html" TargetMode="External" Id="rId17" /><Relationship Type="http://schemas.openxmlformats.org/officeDocument/2006/relationships/hyperlink" Target="https://clck.ru/38nhVy" TargetMode="External" Id="rId18" /><Relationship Type="http://schemas.openxmlformats.org/officeDocument/2006/relationships/hyperlink" Target="https://clck.ru/38ngsp" TargetMode="External" Id="rId19" /><Relationship Type="http://schemas.openxmlformats.org/officeDocument/2006/relationships/hyperlink" Target="https://royallib.com/book/osipov_konstantin/semiletnyaya_voyna.html" TargetMode="External" Id="rId20" /><Relationship Type="http://schemas.openxmlformats.org/officeDocument/2006/relationships/hyperlink" Target="https://clck.ru/38nhfT" TargetMode="External" Id="rId21" /><Relationship Type="http://schemas.openxmlformats.org/officeDocument/2006/relationships/image" Target="media/image16.jpeg" Id="rId22" /><Relationship Type="http://schemas.openxmlformats.org/officeDocument/2006/relationships/numbering" Target="numbering.xml" Id="rId23" /><Relationship Type="http://schemas.openxmlformats.org/officeDocument/2006/relationships/fontTable" Target="fontTable.xml" Id="rId24" /><Relationship Type="http://schemas.openxmlformats.org/officeDocument/2006/relationships/settings" Target="settings.xml" Id="rId25" /><Relationship Type="http://schemas.openxmlformats.org/officeDocument/2006/relationships/theme" Target="theme/theme1.xml" Id="rId26" /><Relationship Type="http://schemas.openxmlformats.org/officeDocument/2006/relationships/customXml" Target="../customXml/item1.xml" Id="rId27" /><Relationship Type="http://schemas.openxmlformats.org/officeDocument/2006/relationships/image" Target="/media/image10.jpg" Id="Rc8f9ab4204a440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F72FC-1789-4526-A5E4-B6A0C16C09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2024-02-17T16:35:00.0000000Z</dcterms:created>
  <dc:creator>Nout-HP</dc:creator>
  <dc:description/>
  <dc:language>ru-RU</dc:language>
  <lastModifiedBy>seva.danilkin2244@gmail.com</lastModifiedBy>
  <dcterms:modified xsi:type="dcterms:W3CDTF">2024-05-04T17:49:09.0931258Z</dcterms:modified>
  <revision>165</revision>
  <dc:subject/>
  <dc:title>Министерство образования и науки Российской Федерации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